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5619" w:rsidRPr="00D44A70" w:rsidRDefault="001F5619" w:rsidP="00D44A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D44A70">
        <w:rPr>
          <w:b/>
          <w:sz w:val="28"/>
          <w:szCs w:val="28"/>
        </w:rPr>
        <w:t xml:space="preserve">NOTICE D’UTILISATION : ACCUSE D’INSCRIPTION </w:t>
      </w:r>
      <w:r w:rsidRPr="00D44A70">
        <w:rPr>
          <w:b/>
          <w:sz w:val="28"/>
          <w:szCs w:val="28"/>
        </w:rPr>
        <w:t>2010-AI</w:t>
      </w:r>
    </w:p>
    <w:p w:rsidR="001F5619" w:rsidRPr="007D4DA4" w:rsidRDefault="001F5619" w:rsidP="001F5619">
      <w:pPr>
        <w:jc w:val="both"/>
        <w:rPr>
          <w:b/>
          <w:sz w:val="24"/>
          <w:szCs w:val="24"/>
        </w:rPr>
      </w:pPr>
    </w:p>
    <w:p w:rsidR="001F5619" w:rsidRDefault="001F5619" w:rsidP="001F5619">
      <w:pPr>
        <w:jc w:val="both"/>
        <w:rPr>
          <w:sz w:val="24"/>
          <w:szCs w:val="24"/>
        </w:rPr>
      </w:pPr>
    </w:p>
    <w:p w:rsidR="001F5619" w:rsidRPr="00603BB8" w:rsidRDefault="001F5619" w:rsidP="001F5619">
      <w:pPr>
        <w:jc w:val="both"/>
        <w:rPr>
          <w:sz w:val="24"/>
          <w:szCs w:val="24"/>
        </w:rPr>
      </w:pPr>
      <w:r w:rsidRPr="00603BB8">
        <w:rPr>
          <w:sz w:val="24"/>
          <w:szCs w:val="24"/>
        </w:rPr>
        <w:t>Le formulaire 2010-</w:t>
      </w:r>
      <w:r>
        <w:rPr>
          <w:sz w:val="24"/>
          <w:szCs w:val="24"/>
        </w:rPr>
        <w:t>AI</w:t>
      </w:r>
      <w:r w:rsidRPr="00603BB8">
        <w:rPr>
          <w:sz w:val="24"/>
          <w:szCs w:val="24"/>
        </w:rPr>
        <w:t xml:space="preserve"> est utilisé pour délivrer l’accusé d’inscription des sûretés mobilières </w:t>
      </w:r>
      <w:bookmarkStart w:id="0" w:name="_GoBack"/>
      <w:bookmarkEnd w:id="0"/>
      <w:r w:rsidRPr="00603BB8">
        <w:rPr>
          <w:sz w:val="24"/>
          <w:szCs w:val="24"/>
        </w:rPr>
        <w:t>prévu par l’article 54 de l’Acte Uniforme portant organisation des sûretés.</w:t>
      </w:r>
    </w:p>
    <w:p w:rsidR="001F5619" w:rsidRPr="00603BB8" w:rsidRDefault="001F5619" w:rsidP="001F5619">
      <w:pPr>
        <w:jc w:val="both"/>
        <w:rPr>
          <w:sz w:val="24"/>
          <w:szCs w:val="24"/>
        </w:rPr>
      </w:pPr>
    </w:p>
    <w:p w:rsidR="001F5619" w:rsidRPr="00603BB8" w:rsidRDefault="001F5619" w:rsidP="001F5619">
      <w:pPr>
        <w:jc w:val="both"/>
        <w:rPr>
          <w:sz w:val="24"/>
          <w:szCs w:val="24"/>
        </w:rPr>
      </w:pPr>
    </w:p>
    <w:p w:rsidR="001F5619" w:rsidRPr="0082157A" w:rsidRDefault="001F5619" w:rsidP="001F5619">
      <w:pPr>
        <w:jc w:val="center"/>
        <w:rPr>
          <w:b/>
          <w:bCs/>
          <w:sz w:val="24"/>
          <w:szCs w:val="24"/>
        </w:rPr>
      </w:pPr>
      <w:r w:rsidRPr="0082157A">
        <w:rPr>
          <w:b/>
          <w:bCs/>
          <w:sz w:val="24"/>
          <w:szCs w:val="24"/>
        </w:rPr>
        <w:t>UTILISATION DU FORMULAIRE</w:t>
      </w:r>
    </w:p>
    <w:p w:rsidR="001F5619" w:rsidRPr="00603BB8" w:rsidRDefault="001F5619" w:rsidP="001F5619">
      <w:pPr>
        <w:jc w:val="both"/>
        <w:rPr>
          <w:sz w:val="24"/>
          <w:szCs w:val="24"/>
        </w:rPr>
      </w:pPr>
    </w:p>
    <w:p w:rsidR="001F5619" w:rsidRPr="00603BB8" w:rsidRDefault="001F5619" w:rsidP="001F5619">
      <w:pPr>
        <w:jc w:val="both"/>
        <w:rPr>
          <w:sz w:val="24"/>
          <w:szCs w:val="24"/>
        </w:rPr>
      </w:pPr>
      <w:r w:rsidRPr="00603BB8">
        <w:rPr>
          <w:sz w:val="24"/>
          <w:szCs w:val="24"/>
        </w:rPr>
        <w:t xml:space="preserve">Le formulaire 2010 – </w:t>
      </w:r>
      <w:r>
        <w:rPr>
          <w:sz w:val="24"/>
          <w:szCs w:val="24"/>
        </w:rPr>
        <w:t>AI</w:t>
      </w:r>
      <w:r w:rsidRPr="00603BB8">
        <w:rPr>
          <w:sz w:val="24"/>
          <w:szCs w:val="24"/>
        </w:rPr>
        <w:t xml:space="preserve"> se compose d’un titre et de différentes rubriques, lesquelles sont cotées de 1 à 3.</w:t>
      </w:r>
    </w:p>
    <w:p w:rsidR="001F5619" w:rsidRPr="00603BB8" w:rsidRDefault="001F5619" w:rsidP="001F5619">
      <w:pPr>
        <w:jc w:val="both"/>
        <w:rPr>
          <w:sz w:val="24"/>
          <w:szCs w:val="24"/>
        </w:rPr>
      </w:pPr>
    </w:p>
    <w:p w:rsidR="001F5619" w:rsidRPr="00603BB8" w:rsidRDefault="001F5619" w:rsidP="001F5619">
      <w:pPr>
        <w:jc w:val="both"/>
        <w:rPr>
          <w:sz w:val="24"/>
          <w:szCs w:val="24"/>
        </w:rPr>
      </w:pPr>
    </w:p>
    <w:p w:rsidR="001F5619" w:rsidRPr="00603BB8" w:rsidRDefault="001F5619" w:rsidP="001F5619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4"/>
          <w:szCs w:val="24"/>
        </w:rPr>
      </w:pPr>
      <w:r w:rsidRPr="00603BB8">
        <w:rPr>
          <w:sz w:val="24"/>
          <w:szCs w:val="24"/>
        </w:rPr>
        <w:t>Titre et objet du formulaire</w:t>
      </w:r>
    </w:p>
    <w:p w:rsidR="001F5619" w:rsidRPr="00603BB8" w:rsidRDefault="001F5619" w:rsidP="001F5619">
      <w:pPr>
        <w:jc w:val="both"/>
        <w:rPr>
          <w:sz w:val="24"/>
          <w:szCs w:val="24"/>
        </w:rPr>
      </w:pPr>
    </w:p>
    <w:p w:rsidR="001F5619" w:rsidRPr="00603BB8" w:rsidRDefault="001F5619" w:rsidP="001F5619">
      <w:pPr>
        <w:jc w:val="both"/>
        <w:rPr>
          <w:sz w:val="24"/>
          <w:szCs w:val="24"/>
        </w:rPr>
      </w:pPr>
      <w:r w:rsidRPr="00603BB8">
        <w:rPr>
          <w:sz w:val="24"/>
          <w:szCs w:val="24"/>
        </w:rPr>
        <w:t>Ce formulaire sert d’accusé d’inscription pour toutes les formalités de publicité des sûretés mobilières au RCCM.  Il est renseigné en fonction de la formalité accomplie.</w:t>
      </w:r>
    </w:p>
    <w:p w:rsidR="001F5619" w:rsidRPr="00603BB8" w:rsidRDefault="001F5619" w:rsidP="001F5619">
      <w:pPr>
        <w:jc w:val="both"/>
        <w:rPr>
          <w:sz w:val="24"/>
          <w:szCs w:val="24"/>
        </w:rPr>
      </w:pPr>
    </w:p>
    <w:p w:rsidR="001F5619" w:rsidRPr="00603BB8" w:rsidRDefault="001F5619" w:rsidP="001F5619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4"/>
          <w:szCs w:val="24"/>
        </w:rPr>
      </w:pPr>
      <w:r w:rsidRPr="00603BB8">
        <w:rPr>
          <w:sz w:val="24"/>
          <w:szCs w:val="24"/>
        </w:rPr>
        <w:t xml:space="preserve">Rubrique 1 </w:t>
      </w:r>
    </w:p>
    <w:p w:rsidR="001F5619" w:rsidRPr="00603BB8" w:rsidRDefault="001F5619" w:rsidP="001F5619">
      <w:pPr>
        <w:jc w:val="both"/>
        <w:rPr>
          <w:sz w:val="24"/>
          <w:szCs w:val="24"/>
        </w:rPr>
      </w:pPr>
    </w:p>
    <w:p w:rsidR="001F5619" w:rsidRPr="00603BB8" w:rsidRDefault="001F5619" w:rsidP="001F5619">
      <w:pPr>
        <w:jc w:val="both"/>
        <w:rPr>
          <w:sz w:val="24"/>
          <w:szCs w:val="24"/>
        </w:rPr>
      </w:pPr>
      <w:r w:rsidRPr="00603BB8">
        <w:rPr>
          <w:sz w:val="24"/>
          <w:szCs w:val="24"/>
        </w:rPr>
        <w:t>Préciser les nom et prénoms ainsi que la fonction de l’autorité ayant reçu la demande de la formalité sollicitée et cocher la case correspondante à celle-ci.</w:t>
      </w:r>
    </w:p>
    <w:p w:rsidR="001F5619" w:rsidRPr="00603BB8" w:rsidRDefault="001F5619" w:rsidP="001F5619">
      <w:pPr>
        <w:jc w:val="both"/>
        <w:rPr>
          <w:sz w:val="24"/>
          <w:szCs w:val="24"/>
        </w:rPr>
      </w:pPr>
    </w:p>
    <w:p w:rsidR="001F5619" w:rsidRPr="00603BB8" w:rsidRDefault="001F5619" w:rsidP="001F5619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4"/>
          <w:szCs w:val="24"/>
        </w:rPr>
      </w:pPr>
      <w:r w:rsidRPr="00603BB8">
        <w:rPr>
          <w:sz w:val="24"/>
          <w:szCs w:val="24"/>
        </w:rPr>
        <w:t>Rubrique 2</w:t>
      </w:r>
    </w:p>
    <w:p w:rsidR="001F5619" w:rsidRPr="00603BB8" w:rsidRDefault="001F5619" w:rsidP="001F5619">
      <w:pPr>
        <w:jc w:val="both"/>
        <w:rPr>
          <w:sz w:val="24"/>
          <w:szCs w:val="24"/>
        </w:rPr>
      </w:pPr>
    </w:p>
    <w:p w:rsidR="001F5619" w:rsidRPr="00603BB8" w:rsidRDefault="001F5619" w:rsidP="001F5619">
      <w:pPr>
        <w:jc w:val="both"/>
        <w:rPr>
          <w:sz w:val="24"/>
          <w:szCs w:val="24"/>
        </w:rPr>
      </w:pPr>
      <w:r w:rsidRPr="00603BB8">
        <w:rPr>
          <w:sz w:val="24"/>
          <w:szCs w:val="24"/>
        </w:rPr>
        <w:t>Préciser la nature du bien, objet de garantie. Préciser en outre l’identité de la personne bénéficiaire et le constituant (personne su</w:t>
      </w:r>
      <w:r>
        <w:rPr>
          <w:sz w:val="24"/>
          <w:szCs w:val="24"/>
        </w:rPr>
        <w:t>pportant ou non le nantissement</w:t>
      </w:r>
      <w:r w:rsidRPr="00603BB8">
        <w:rPr>
          <w:sz w:val="24"/>
          <w:szCs w:val="24"/>
        </w:rPr>
        <w:t>). Préciser au surplus tout autre renseignement utile.</w:t>
      </w:r>
    </w:p>
    <w:p w:rsidR="001F5619" w:rsidRPr="00603BB8" w:rsidRDefault="001F5619" w:rsidP="001F5619">
      <w:pPr>
        <w:jc w:val="both"/>
        <w:rPr>
          <w:sz w:val="24"/>
          <w:szCs w:val="24"/>
        </w:rPr>
      </w:pPr>
    </w:p>
    <w:p w:rsidR="001F5619" w:rsidRPr="00603BB8" w:rsidRDefault="001F5619" w:rsidP="001F5619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4"/>
          <w:szCs w:val="24"/>
        </w:rPr>
      </w:pPr>
      <w:r w:rsidRPr="00603BB8">
        <w:rPr>
          <w:sz w:val="24"/>
          <w:szCs w:val="24"/>
        </w:rPr>
        <w:t>Rubrique 3</w:t>
      </w:r>
    </w:p>
    <w:p w:rsidR="001F5619" w:rsidRPr="00603BB8" w:rsidRDefault="001F5619" w:rsidP="001F5619">
      <w:pPr>
        <w:jc w:val="both"/>
        <w:rPr>
          <w:sz w:val="24"/>
          <w:szCs w:val="24"/>
        </w:rPr>
      </w:pPr>
    </w:p>
    <w:p w:rsidR="001F5619" w:rsidRPr="00603BB8" w:rsidRDefault="001F5619" w:rsidP="001F5619">
      <w:pPr>
        <w:jc w:val="both"/>
        <w:rPr>
          <w:sz w:val="24"/>
          <w:szCs w:val="24"/>
        </w:rPr>
      </w:pPr>
      <w:r w:rsidRPr="00603BB8">
        <w:rPr>
          <w:sz w:val="24"/>
          <w:szCs w:val="24"/>
        </w:rPr>
        <w:t>Cette rubrique est utilisée pour l’attribution du numéro d’inscription de la formalité relative à la sûreté mobilière.</w:t>
      </w:r>
    </w:p>
    <w:p w:rsidR="00A8200A" w:rsidRDefault="0082157A"/>
    <w:sectPr w:rsidR="00A8200A" w:rsidSect="00DF514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A9CBA50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619"/>
    <w:rsid w:val="00131383"/>
    <w:rsid w:val="001F5619"/>
    <w:rsid w:val="0082157A"/>
    <w:rsid w:val="00D44A70"/>
    <w:rsid w:val="00DF5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B2B983"/>
  <w14:defaultImageDpi w14:val="32767"/>
  <w15:chartTrackingRefBased/>
  <w15:docId w15:val="{26D92D78-7A64-0A48-875F-2820CCCD5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F561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933</Characters>
  <Application>Microsoft Office Word</Application>
  <DocSecurity>0</DocSecurity>
  <Lines>7</Lines>
  <Paragraphs>2</Paragraphs>
  <ScaleCrop>false</ScaleCrop>
  <Company>OHADA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Kodjo Patrice TOSSAVI</dc:creator>
  <cp:keywords/>
  <dc:description/>
  <cp:lastModifiedBy>Kodjo Patrice TOSSAVI</cp:lastModifiedBy>
  <cp:revision>3</cp:revision>
  <dcterms:created xsi:type="dcterms:W3CDTF">2019-06-14T11:34:00Z</dcterms:created>
  <dcterms:modified xsi:type="dcterms:W3CDTF">2019-06-14T11:36:00Z</dcterms:modified>
</cp:coreProperties>
</file>